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Arial" w:cs="Arial" w:eastAsia="Arial" w:hAnsi="Arial"/>
          <w:b w:val="1"/>
          <w:sz w:val="32"/>
          <w:szCs w:val="32"/>
          <w:rtl w:val="0"/>
        </w:rPr>
        <w:t xml:space="preserve">Alianza Smart Latam y CIAPEM:</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Colaboración para la inclusión tecnológica</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Este vínculo busca promover el uso y aprovechamiento de las Tecnologías de la Información y Comunicación adaptándolas a diferentes ámbitos.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 firma de convenio contó con la realización de un conversatorio titulado "Inclusión digital para mejorar los servicios públicos de México y Latinoamérica”, donde los participantes fijaron su postura sobre la democratización de la tecnología para el desarrollo de las ciudades y territorios.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b w:val="1"/>
          <w:rtl w:val="0"/>
        </w:rPr>
        <w:t xml:space="preserve">Ciudad de Puebla, 7 de mayo de 2019.- </w:t>
      </w:r>
      <w:r w:rsidDel="00000000" w:rsidR="00000000" w:rsidRPr="00000000">
        <w:rPr>
          <w:rFonts w:ascii="Arial" w:cs="Arial" w:eastAsia="Arial" w:hAnsi="Arial"/>
          <w:rtl w:val="0"/>
        </w:rPr>
        <w:t xml:space="preserve">El Comité de Informática de la Administración Pública Estatal y Municipal (CIAPEM) y Alianza Smart Latam, se unieron a través de un convenio de colaboración con el objetivo de impulsar proyectos encaminados a potenciar el avance hacia el modelo de ciudad inteligente con ayuda de la innovación tecnológica en los gobiernos estatales y municipales.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 esta firma de colaboración asistieron Tony Gali, Consejero Primero de Honor y Embajador de la Alianza Smart LATAM; Jaime Oropeza Casas, Secretario de Competitividad, Trabajo y Desarrollo Económico del Estado de Puebla; Víctor Manuel Carranza, Presidente Municipal de Coatzacoalcos y Vicepresidente de la Asamblea del CIAPEM; Claudia Rivera, Presidenta Municipal de Puebla; Antonio Peniche García, Secretario de Infraestructura, Movilidad y Transporte del Estado de Puebla; José Guillermo Velázquez, Presidente Municipal de Atlixco y asociado de la Región Centro–Golfo Istmo del CIAPEM (Confirmado); Mauricio García, Vicepresidente del Comité Ejecutivo del CIAPEM y Suplente del Vicepresidente de la Asamblea; Manuel Redondo, Presidente de Fira Barcelona México; Netzer Díaz, Director del CIAPEM Fernando Pérez, Presidente Municipal de Tulancingo y Presidente de la Federación Nacional de Municipios de México (FENAMM), y Pilar Martinez, Directora de Fira Barcelona México.</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De acuerdo con los principios de la propia Alianza Smart Latam, constituida como una plataforma permanente de colaboración vinculada con ONU Hábitat, en la que participan todos los agentes de transformación de América Latina; el CIAPEM como una asociación civil que promueve la modernización e innovación de los servicios gubernamentales,</w:t>
      </w:r>
      <w:r w:rsidDel="00000000" w:rsidR="00000000" w:rsidRPr="00000000">
        <w:rPr>
          <w:rtl w:val="0"/>
        </w:rPr>
        <w:t xml:space="preserve"> </w:t>
      </w:r>
      <w:r w:rsidDel="00000000" w:rsidR="00000000" w:rsidRPr="00000000">
        <w:rPr>
          <w:rFonts w:ascii="Arial" w:cs="Arial" w:eastAsia="Arial" w:hAnsi="Arial"/>
          <w:rtl w:val="0"/>
        </w:rPr>
        <w:t xml:space="preserve">este vínculo busca promover el uso y aprovechamiento de las Tecnologías de la Información y Comunicación adaptándolas a diferentes ámbitos.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Tal como lo mencionó Manuel Redondo, Presidente de Fira Barcelona México en su mensaje de bienvenida, “el reto es lograr que a través de los esfuerzos realizados a través de CIAPEM y Alianza Smart Latam, la tecnología pueda ser aplicada en los ámbitos necesarios de tal manera que se mejore la calidad de vida en las ciudades, a través de una visión transversal de la gestión urbana”.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Asimismo, esta colaboración atiende no solo a las necesidades tecnológicas primordiales en el avance hacia un modelo de ciudad inteligente, también es parte de los esfuerzos de cara al Smart City Expo LATAM Congress, evento a través del que se desprende la propia Alianza Smart Latam, mismo que este año se realiza por 4ta ocasión en la ciudad de Puebla del 2 al 4 de julio.</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Cabe destacar, que además del acto protocolario, esta firma de convenio tuvo como parte de su realización, un conversatorio titulado "Inclusión digital para mejorar los servicios  públicos de México y Latinoamérica” moderado por David Galicia Sánchez, Coordinador editorial de Alcaldes de México, en el que participaron Víctor Manuel Carranza Rosaldo, Presidente Municipal de Coatzacoalcos, Veracruz y Vicepresidente de la Asamblea General de Asociados del CIAPEM; Fernando Pérez Rodriguez, Presidente Municipal de Tulancingo de Bravo, Hidalgo y Presidente Ejecutivo del Consejo Directivo de la Federación Nacional de Municipios de México; José Guillermo Velázquez Gutiérrez, Presidente Municipal de Atlixco, Puebla y asociado de la Región Centro–Golfo Istmo del CIAPEM, y Claudia Rivera Vivanco, Presidenta Municipal de Puebla, Puebla y Coordinación Regional Municipal Centro- Golfo-Istmo. Quienes fijaron su postura sobre la democratización de la tecnología para el desarrollo de las ciudades y territorios. </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b w:val="1"/>
        </w:rPr>
      </w:pPr>
      <w:r w:rsidDel="00000000" w:rsidR="00000000" w:rsidRPr="00000000">
        <w:rPr>
          <w:rFonts w:ascii="Arial" w:cs="Arial" w:eastAsia="Arial" w:hAnsi="Arial"/>
          <w:b w:val="1"/>
          <w:rtl w:val="0"/>
        </w:rPr>
        <w:t xml:space="preserve">Acerca de Alianza Smart Latam.</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i w:val="1"/>
        </w:rPr>
      </w:pPr>
      <w:r w:rsidDel="00000000" w:rsidR="00000000" w:rsidRPr="00000000">
        <w:rPr>
          <w:rFonts w:ascii="Arial" w:cs="Arial" w:eastAsia="Arial" w:hAnsi="Arial"/>
          <w:i w:val="1"/>
          <w:rtl w:val="0"/>
        </w:rPr>
        <w:t xml:space="preserve">La Alianza Smart LATAM es una iniciativa de Fira Barcelona México y Smart City Expo LATAM Congress con el impulso de ONU-Habitat, constituida como una plataforma permanente de colaboración en la que participan todos los agentes de transformación de América Latina, que pone al ciudadano en el centro del proceso de desarrollo, mediante el uso de la tecnología y la innovación, para mejorar la calidad de vida de nuestras ciudades y territorios. La Alianza tiene un modelo de colaboración inteligente, pues incluye a gobiernos, instituciones, universidades y empresas que deseen integrar el modelo Smart City en sus territorios. Además de tener programas de colaboración institucional, también pretende que sus miembros trabajen entre pares, y de esa manera, desarrollen proyectos en conjunto, que generen un impacto positivo en la vida de sus ciudades.   </w:t>
      </w:r>
    </w:p>
    <w:p w:rsidR="00000000" w:rsidDel="00000000" w:rsidP="00000000" w:rsidRDefault="00000000" w:rsidRPr="00000000" w14:paraId="00000017">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18">
      <w:pPr>
        <w:jc w:val="both"/>
        <w:rPr>
          <w:rFonts w:ascii="Arial" w:cs="Arial" w:eastAsia="Arial" w:hAnsi="Arial"/>
          <w:i w:val="1"/>
        </w:rPr>
      </w:pPr>
      <w:r w:rsidDel="00000000" w:rsidR="00000000" w:rsidRPr="00000000">
        <w:rPr>
          <w:rFonts w:ascii="Arial" w:cs="Arial" w:eastAsia="Arial" w:hAnsi="Arial"/>
          <w:i w:val="1"/>
          <w:rtl w:val="0"/>
        </w:rPr>
        <w:t xml:space="preserve">Para mayor información consulte www.alianzasmartlatam.org, y nuestras redes sociales, en Twitter @alianzasmartlat y en Facebook como /alianzasmartlat. </w:t>
      </w:r>
    </w:p>
    <w:p w:rsidR="00000000" w:rsidDel="00000000" w:rsidP="00000000" w:rsidRDefault="00000000" w:rsidRPr="00000000" w14:paraId="00000019">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1A">
      <w:pPr>
        <w:jc w:val="both"/>
        <w:rPr>
          <w:i w:val="1"/>
          <w:color w:val="000000"/>
          <w:sz w:val="28"/>
          <w:szCs w:val="28"/>
        </w:rPr>
      </w:pPr>
      <w:r w:rsidDel="00000000" w:rsidR="00000000" w:rsidRPr="00000000">
        <w:rPr>
          <w:rtl w:val="0"/>
        </w:rPr>
      </w:r>
    </w:p>
    <w:p w:rsidR="00000000" w:rsidDel="00000000" w:rsidP="00000000" w:rsidRDefault="00000000" w:rsidRPr="00000000" w14:paraId="0000001B">
      <w:pPr>
        <w:jc w:val="both"/>
        <w:rPr>
          <w:color w:val="000000"/>
          <w:sz w:val="28"/>
          <w:szCs w:val="28"/>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color w:val="000000"/>
        </w:rPr>
      </w:pPr>
      <w:r w:rsidDel="00000000" w:rsidR="00000000" w:rsidRPr="00000000">
        <w:rPr>
          <w:rFonts w:ascii="Arial" w:cs="Arial" w:eastAsia="Arial" w:hAnsi="Arial"/>
          <w:b w:val="1"/>
          <w:rtl w:val="0"/>
        </w:rPr>
        <w:t xml:space="preserve">Acerca de </w:t>
      </w:r>
      <w:r w:rsidDel="00000000" w:rsidR="00000000" w:rsidRPr="00000000">
        <w:rPr>
          <w:rFonts w:ascii="Arial" w:cs="Arial" w:eastAsia="Arial" w:hAnsi="Arial"/>
          <w:b w:val="1"/>
          <w:color w:val="000000"/>
          <w:rtl w:val="0"/>
        </w:rPr>
        <w:t xml:space="preserve">Smart City Expo LATAM Congress.</w:t>
      </w:r>
    </w:p>
    <w:p w:rsidR="00000000" w:rsidDel="00000000" w:rsidP="00000000" w:rsidRDefault="00000000" w:rsidRPr="00000000" w14:paraId="0000001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El Smart City Expo LATAM Congress es la plataforma latinoamericana que reúne a representantes de ciudades, instituciones, universidades y organizaciones de la sociedad civil con aquellas empresas desarrolladoras de soluciones innovadoras con el fin común de acelerar la transformación de los territorios y así mejorar la calidad de vida de los ciudadanos.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El Smart City Expo LATAM Congress, se erige como un espacio abierto para que las empresas, instituciones y gobiernos y medios de comunicación expongan sus proyectos más destacados en los diferentes ámbitos de la gestión urbana.  </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i w:val="1"/>
          <w:rtl w:val="0"/>
        </w:rPr>
        <w:t xml:space="preserve">Para mayor información consulte www.smartcityexpolatam.com, y nuestras redes sociales, en Twitter @SmartCityLatam y en Facebook como /SmartCityLatam</w:t>
      </w:r>
      <w:r w:rsidDel="00000000" w:rsidR="00000000" w:rsidRPr="00000000">
        <w:rPr>
          <w:rFonts w:ascii="Arial" w:cs="Arial" w:eastAsia="Arial" w:hAnsi="Arial"/>
          <w:rtl w:val="0"/>
        </w:rPr>
        <w:t xml:space="preserve"> </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376363" cy="1376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6363" cy="1376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